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216" w:rsidRPr="00730216" w:rsidRDefault="00730216" w:rsidP="00730216">
      <w:pPr>
        <w:spacing w:after="150" w:line="240" w:lineRule="auto"/>
        <w:textAlignment w:val="baseline"/>
        <w:outlineLvl w:val="0"/>
        <w:rPr>
          <w:rFonts w:ascii="Times New Roman" w:eastAsia="Times New Roman" w:hAnsi="Times New Roman" w:cs="Times New Roman"/>
          <w:b/>
          <w:bCs/>
          <w:color w:val="00448D"/>
          <w:kern w:val="36"/>
          <w:sz w:val="43"/>
          <w:szCs w:val="43"/>
        </w:rPr>
      </w:pPr>
      <w:r w:rsidRPr="00730216">
        <w:rPr>
          <w:rFonts w:ascii="Times New Roman" w:eastAsia="Times New Roman" w:hAnsi="Times New Roman" w:cs="Times New Roman"/>
          <w:b/>
          <w:bCs/>
          <w:color w:val="00448D"/>
          <w:kern w:val="36"/>
          <w:sz w:val="43"/>
          <w:szCs w:val="43"/>
        </w:rPr>
        <w:t>Hồ sơ đăng ký dự thi quốc gia 2017 gồm những gì?</w:t>
      </w:r>
    </w:p>
    <w:p w:rsidR="00730216" w:rsidRPr="00730216" w:rsidRDefault="00730216" w:rsidP="00730216">
      <w:pPr>
        <w:spacing w:before="75" w:after="0" w:line="240" w:lineRule="auto"/>
        <w:textAlignment w:val="baseline"/>
        <w:rPr>
          <w:rFonts w:ascii="Times New Roman" w:eastAsia="Times New Roman" w:hAnsi="Times New Roman" w:cs="Times New Roman"/>
          <w:b/>
          <w:bCs/>
          <w:sz w:val="19"/>
          <w:szCs w:val="19"/>
        </w:rPr>
      </w:pPr>
      <w:r w:rsidRPr="00730216">
        <w:rPr>
          <w:rFonts w:ascii="Times New Roman" w:eastAsia="Times New Roman" w:hAnsi="Times New Roman" w:cs="Times New Roman"/>
          <w:b/>
          <w:bCs/>
          <w:sz w:val="19"/>
          <w:szCs w:val="19"/>
        </w:rPr>
        <w:t xml:space="preserve"> (GDVN) - Quy chế thi THPT quốc gia nêu đầy đủ về nơi đăng ký dự thi, thủ tục và hồ sơ đăng ký dự thi cho thí sinh lớp 12 và thí sinh tự do.</w:t>
      </w:r>
    </w:p>
    <w:p w:rsidR="00730216" w:rsidRDefault="00730216" w:rsidP="00730216">
      <w:pPr>
        <w:spacing w:after="150" w:line="240" w:lineRule="auto"/>
        <w:textAlignment w:val="baseline"/>
        <w:rPr>
          <w:rFonts w:ascii="Arial" w:eastAsia="Times New Roman" w:hAnsi="Arial" w:cs="Arial"/>
          <w:color w:val="000000"/>
          <w:sz w:val="19"/>
          <w:szCs w:val="19"/>
        </w:rPr>
      </w:pPr>
    </w:p>
    <w:p w:rsidR="00730216" w:rsidRPr="00730216" w:rsidRDefault="00730216" w:rsidP="00730216">
      <w:pPr>
        <w:spacing w:after="150" w:line="240" w:lineRule="auto"/>
        <w:textAlignment w:val="baseline"/>
        <w:rPr>
          <w:rFonts w:ascii="Arial" w:eastAsia="Times New Roman" w:hAnsi="Arial" w:cs="Arial"/>
          <w:color w:val="000000"/>
          <w:sz w:val="19"/>
          <w:szCs w:val="19"/>
        </w:rPr>
      </w:pPr>
      <w:hyperlink r:id="rId4" w:history="1">
        <w:r w:rsidRPr="00730216">
          <w:rPr>
            <w:rFonts w:ascii="Arial" w:eastAsia="Times New Roman" w:hAnsi="Arial" w:cs="Arial"/>
            <w:b/>
            <w:bCs/>
            <w:color w:val="807676"/>
            <w:sz w:val="17"/>
            <w:szCs w:val="17"/>
            <w:bdr w:val="none" w:sz="0" w:space="0" w:color="auto" w:frame="1"/>
          </w:rPr>
          <w:t>Những điều thí sinh bắt buộc phải biết khi đăng ký xét tuyển</w:t>
        </w:r>
      </w:hyperlink>
      <w:r>
        <w:rPr>
          <w:rFonts w:ascii="Arial" w:eastAsia="Times New Roman" w:hAnsi="Arial" w:cs="Arial"/>
          <w:color w:val="000000"/>
          <w:sz w:val="19"/>
          <w:szCs w:val="19"/>
        </w:rPr>
        <w:t xml:space="preserve"> </w:t>
      </w:r>
      <w:hyperlink r:id="rId5" w:history="1">
        <w:r w:rsidRPr="00730216">
          <w:rPr>
            <w:rFonts w:ascii="Arial" w:eastAsia="Times New Roman" w:hAnsi="Arial" w:cs="Arial"/>
            <w:b/>
            <w:bCs/>
            <w:color w:val="807676"/>
            <w:sz w:val="17"/>
            <w:szCs w:val="17"/>
            <w:bdr w:val="none" w:sz="0" w:space="0" w:color="auto" w:frame="1"/>
          </w:rPr>
          <w:t>Công bố chính thức lịch thi quốc gia 2017</w:t>
        </w:r>
      </w:hyperlink>
      <w:hyperlink r:id="rId6" w:history="1">
        <w:r w:rsidRPr="00730216">
          <w:rPr>
            <w:rFonts w:ascii="Arial" w:eastAsia="Times New Roman" w:hAnsi="Arial" w:cs="Arial"/>
            <w:b/>
            <w:bCs/>
            <w:color w:val="807676"/>
            <w:sz w:val="17"/>
            <w:szCs w:val="17"/>
            <w:bdr w:val="none" w:sz="0" w:space="0" w:color="auto" w:frame="1"/>
          </w:rPr>
          <w:t>Tiếp tục công khai đề, đáp án trong kỳ thi quốc gia 2017</w:t>
        </w:r>
      </w:hyperlink>
    </w:p>
    <w:p w:rsidR="00730216" w:rsidRPr="00730216" w:rsidRDefault="00730216" w:rsidP="00730216">
      <w:pPr>
        <w:spacing w:after="0" w:line="240" w:lineRule="auto"/>
        <w:textAlignment w:val="baseline"/>
        <w:rPr>
          <w:rFonts w:ascii="Arial" w:eastAsia="Times New Roman" w:hAnsi="Arial" w:cs="Arial"/>
          <w:color w:val="000000"/>
          <w:sz w:val="21"/>
          <w:szCs w:val="21"/>
        </w:rPr>
      </w:pPr>
      <w:r w:rsidRPr="00730216">
        <w:rPr>
          <w:rFonts w:ascii="Arial" w:eastAsia="Times New Roman" w:hAnsi="Arial" w:cs="Arial"/>
          <w:b/>
          <w:bCs/>
          <w:color w:val="000000"/>
          <w:sz w:val="21"/>
          <w:szCs w:val="21"/>
          <w:bdr w:val="none" w:sz="0" w:space="0" w:color="auto" w:frame="1"/>
        </w:rPr>
        <w:t>Nơi đăng ký dự thi</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Đối tượng là người đã học hết chương trình THPT hoặc chương trình GDTX cấp THPT (gọi chung là chương trình THPT) trong năm tổ chức kỳ thi </w:t>
      </w:r>
      <w:hyperlink r:id="rId7" w:history="1">
        <w:r w:rsidRPr="00730216">
          <w:rPr>
            <w:rFonts w:ascii="Arial" w:eastAsia="Times New Roman" w:hAnsi="Arial" w:cs="Arial"/>
            <w:color w:val="136791"/>
            <w:sz w:val="21"/>
            <w:szCs w:val="21"/>
            <w:bdr w:val="none" w:sz="0" w:space="0" w:color="auto" w:frame="1"/>
          </w:rPr>
          <w:t>đăng ký dự thi</w:t>
        </w:r>
      </w:hyperlink>
      <w:r w:rsidRPr="00730216">
        <w:rPr>
          <w:rFonts w:ascii="Arial" w:eastAsia="Times New Roman" w:hAnsi="Arial" w:cs="Arial"/>
          <w:color w:val="000000"/>
          <w:sz w:val="21"/>
          <w:szCs w:val="21"/>
        </w:rPr>
        <w:t> tại trường phổ thông nơi học lớp 12; </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Thí sinh tự do đăng ký tại địa điểm do sở GD&amp;ĐT quy định, tại địa phương hoặc nơi đăng ký thuận tiện nhất cho thí sinh. </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r>
      <w:r w:rsidRPr="00730216">
        <w:rPr>
          <w:rFonts w:ascii="Arial" w:eastAsia="Times New Roman" w:hAnsi="Arial" w:cs="Arial"/>
          <w:b/>
          <w:bCs/>
          <w:color w:val="000000"/>
          <w:sz w:val="21"/>
          <w:szCs w:val="21"/>
          <w:bdr w:val="none" w:sz="0" w:space="0" w:color="auto" w:frame="1"/>
        </w:rPr>
        <w:t>Hồ sơ đăng ký dự thi đối với thí sinh chưa có bằng tốt nghiệp THPT: </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r>
      <w:r w:rsidRPr="00730216">
        <w:rPr>
          <w:rFonts w:ascii="Arial" w:eastAsia="Times New Roman" w:hAnsi="Arial" w:cs="Arial"/>
          <w:i/>
          <w:iCs/>
          <w:color w:val="000000"/>
          <w:sz w:val="21"/>
          <w:szCs w:val="21"/>
          <w:bdr w:val="none" w:sz="0" w:space="0" w:color="auto" w:frame="1"/>
        </w:rPr>
        <w:t>a) Đối với học sinh phổ thông:</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- 02 Phiếu đăng ký dự thi giống nhau;</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Học bạ THPT; học bạ hoặc Phiếu kiểm tra của người học theo hình thức tự học đối với GDTX (bản sao);</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Các giấy chứng nhận hợp lệ để được hưởng chế độ ưu tiên, khuyến khích (nếu có). Để được hưởng chế độ ưu tiên liên quan đến nơi đăng ký hộ khẩu thường trú, thí sinh phải có bản sao Sổ đăng ký hộ khẩu thường trú;</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- 02 ảnh cỡ 4x6 cm, 02 phong bì đã dán sẵn tem và ghi rõ địa chỉ, số điện thoại liên lạc của thí sinh.</w:t>
      </w:r>
      <w:r w:rsidRPr="00730216">
        <w:rPr>
          <w:rFonts w:ascii="Arial" w:eastAsia="Times New Roman" w:hAnsi="Arial" w:cs="Arial"/>
          <w:color w:val="000000"/>
          <w:sz w:val="21"/>
          <w:szCs w:val="21"/>
        </w:rPr>
        <w:br/>
      </w:r>
      <w:r w:rsidRPr="00730216">
        <w:rPr>
          <w:rFonts w:ascii="Arial" w:eastAsia="Times New Roman" w:hAnsi="Arial" w:cs="Arial"/>
          <w:i/>
          <w:iCs/>
          <w:color w:val="000000"/>
          <w:sz w:val="21"/>
          <w:szCs w:val="21"/>
          <w:bdr w:val="none" w:sz="0" w:space="0" w:color="auto" w:frame="1"/>
        </w:rPr>
        <w:br/>
        <w:t>b) Thí sinh tự do, ngoài các hồ sơ quy định như trên, phải có thêm:</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Giấy khai sinh (bản sao);</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Giấy xác nhận của UBND cấp xã nơi cư trú theo nội dung quy định tại điểm c khoản 2 Điều 12 Quy chế này nếu thuộc trường hợp không đủ điều kiện dự thi trong các năm trước do bị xếp loại yếu về hạnh kiểm ở lớp 12;</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Giấy xác nhận của trường phổ thông nơi học lớp 12 hoặc nơi đăng ký dự thi về xếp loại học lực đối với những học sinh xếp loại kém về học lực;</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Bằng tốt nghiệp THCS hoặc trung cấp (bản sao);</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Giấy xác nhận điểm bảo lưu (nếu có) do Hiệu trưởng trường phổ thông nơi thí sinh đã dự thi năm trước xác nhận.</w:t>
      </w:r>
      <w:r w:rsidRPr="00730216">
        <w:rPr>
          <w:rFonts w:ascii="Arial" w:eastAsia="Times New Roman" w:hAnsi="Arial" w:cs="Arial"/>
          <w:color w:val="000000"/>
          <w:sz w:val="21"/>
          <w:szCs w:val="21"/>
        </w:rPr>
        <w:br/>
      </w:r>
      <w:r w:rsidRPr="00730216">
        <w:rPr>
          <w:rFonts w:ascii="Arial" w:eastAsia="Times New Roman" w:hAnsi="Arial" w:cs="Arial"/>
          <w:b/>
          <w:bCs/>
          <w:color w:val="000000"/>
          <w:sz w:val="21"/>
          <w:szCs w:val="21"/>
          <w:bdr w:val="none" w:sz="0" w:space="0" w:color="auto" w:frame="1"/>
        </w:rPr>
        <w:br/>
        <w:t>Hồ sơ đăng ký dự thi đối với thí sinh tự do đã tốt nghiệp THPT:</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- 02 Phiếu đăng ký dự thi giống nhau;</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Bằng tốt nghiệp THPT hoặc trung cấp (bản sao);</w:t>
      </w:r>
      <w:r w:rsidRPr="00730216">
        <w:rPr>
          <w:rFonts w:ascii="Arial" w:eastAsia="Times New Roman" w:hAnsi="Arial" w:cs="Arial"/>
          <w:color w:val="000000"/>
          <w:sz w:val="21"/>
          <w:szCs w:val="21"/>
        </w:rPr>
        <w:br/>
      </w:r>
      <w:r w:rsidRPr="00730216">
        <w:rPr>
          <w:rFonts w:ascii="Arial" w:eastAsia="Times New Roman" w:hAnsi="Arial" w:cs="Arial"/>
          <w:color w:val="000000"/>
          <w:sz w:val="21"/>
          <w:szCs w:val="21"/>
        </w:rPr>
        <w:br/>
        <w:t>- 02 ảnh cỡ 4x6 cm, 02 phong bì đã dán sẵn tem và ghi rõ địa chỉ liên lạc của thí sinh.</w:t>
      </w:r>
    </w:p>
    <w:p w:rsidR="00730216" w:rsidRDefault="00730216" w:rsidP="00730216">
      <w:pPr>
        <w:spacing w:after="150" w:line="240" w:lineRule="auto"/>
        <w:textAlignment w:val="baseline"/>
        <w:rPr>
          <w:rFonts w:ascii="Arial" w:eastAsia="Times New Roman" w:hAnsi="Arial" w:cs="Arial"/>
          <w:b/>
          <w:bCs/>
          <w:color w:val="000000"/>
          <w:sz w:val="19"/>
          <w:szCs w:val="19"/>
        </w:rPr>
      </w:pPr>
    </w:p>
    <w:p w:rsidR="00730216" w:rsidRPr="00730216" w:rsidRDefault="00730216" w:rsidP="00730216">
      <w:pPr>
        <w:spacing w:after="150" w:line="240" w:lineRule="auto"/>
        <w:textAlignment w:val="baseline"/>
        <w:rPr>
          <w:rFonts w:ascii="Arial" w:eastAsia="Times New Roman" w:hAnsi="Arial" w:cs="Arial"/>
          <w:b/>
          <w:bCs/>
          <w:color w:val="000000"/>
          <w:sz w:val="19"/>
          <w:szCs w:val="19"/>
        </w:rPr>
      </w:pPr>
      <w:r>
        <w:rPr>
          <w:rFonts w:ascii="Arial" w:eastAsia="Times New Roman" w:hAnsi="Arial" w:cs="Arial"/>
          <w:b/>
          <w:bCs/>
          <w:color w:val="000000"/>
          <w:sz w:val="19"/>
          <w:szCs w:val="19"/>
        </w:rPr>
        <w:t xml:space="preserve">                                                   </w:t>
      </w:r>
      <w:bookmarkStart w:id="0" w:name="_GoBack"/>
      <w:bookmarkEnd w:id="0"/>
      <w:r>
        <w:rPr>
          <w:rFonts w:ascii="Arial" w:eastAsia="Times New Roman" w:hAnsi="Arial" w:cs="Arial"/>
          <w:b/>
          <w:bCs/>
          <w:color w:val="000000"/>
          <w:sz w:val="19"/>
          <w:szCs w:val="19"/>
        </w:rPr>
        <w:t xml:space="preserve">HTST                                           </w:t>
      </w:r>
      <w:r w:rsidRPr="00730216">
        <w:rPr>
          <w:rFonts w:ascii="Arial" w:eastAsia="Times New Roman" w:hAnsi="Arial" w:cs="Arial"/>
          <w:b/>
          <w:bCs/>
          <w:color w:val="000000"/>
          <w:sz w:val="19"/>
          <w:szCs w:val="19"/>
        </w:rPr>
        <w:t>Linh Hương</w:t>
      </w:r>
    </w:p>
    <w:p w:rsidR="007C6643" w:rsidRDefault="007C6643"/>
    <w:sectPr w:rsidR="007C6643" w:rsidSect="00730216">
      <w:pgSz w:w="12240" w:h="15840"/>
      <w:pgMar w:top="720" w:right="72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16"/>
    <w:rsid w:val="00730216"/>
    <w:rsid w:val="007C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23755-68CC-4787-8FBF-92753F4D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02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216"/>
    <w:rPr>
      <w:rFonts w:ascii="Times New Roman" w:eastAsia="Times New Roman" w:hAnsi="Times New Roman" w:cs="Times New Roman"/>
      <w:b/>
      <w:bCs/>
      <w:kern w:val="36"/>
      <w:sz w:val="48"/>
      <w:szCs w:val="48"/>
    </w:rPr>
  </w:style>
  <w:style w:type="paragraph" w:customStyle="1" w:styleId="author">
    <w:name w:val="author"/>
    <w:basedOn w:val="Normal"/>
    <w:rsid w:val="007302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s-author">
    <w:name w:val="cms-author"/>
    <w:basedOn w:val="DefaultParagraphFont"/>
    <w:rsid w:val="00730216"/>
  </w:style>
  <w:style w:type="character" w:styleId="Hyperlink">
    <w:name w:val="Hyperlink"/>
    <w:basedOn w:val="DefaultParagraphFont"/>
    <w:uiPriority w:val="99"/>
    <w:semiHidden/>
    <w:unhideWhenUsed/>
    <w:rsid w:val="00730216"/>
    <w:rPr>
      <w:color w:val="0000FF"/>
      <w:u w:val="single"/>
    </w:rPr>
  </w:style>
  <w:style w:type="character" w:customStyle="1" w:styleId="apple-converted-space">
    <w:name w:val="apple-converted-space"/>
    <w:basedOn w:val="DefaultParagraphFont"/>
    <w:rsid w:val="00730216"/>
  </w:style>
  <w:style w:type="paragraph" w:customStyle="1" w:styleId="summary">
    <w:name w:val="summary"/>
    <w:basedOn w:val="Normal"/>
    <w:rsid w:val="0073021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02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0216"/>
    <w:rPr>
      <w:b/>
      <w:bCs/>
    </w:rPr>
  </w:style>
  <w:style w:type="character" w:styleId="Emphasis">
    <w:name w:val="Emphasis"/>
    <w:basedOn w:val="DefaultParagraphFont"/>
    <w:uiPriority w:val="20"/>
    <w:qFormat/>
    <w:rsid w:val="007302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393613">
      <w:bodyDiv w:val="1"/>
      <w:marLeft w:val="0"/>
      <w:marRight w:val="0"/>
      <w:marTop w:val="0"/>
      <w:marBottom w:val="0"/>
      <w:divBdr>
        <w:top w:val="none" w:sz="0" w:space="0" w:color="auto"/>
        <w:left w:val="none" w:sz="0" w:space="0" w:color="auto"/>
        <w:bottom w:val="none" w:sz="0" w:space="0" w:color="auto"/>
        <w:right w:val="none" w:sz="0" w:space="0" w:color="auto"/>
      </w:divBdr>
      <w:divsChild>
        <w:div w:id="239752468">
          <w:marLeft w:val="0"/>
          <w:marRight w:val="0"/>
          <w:marTop w:val="0"/>
          <w:marBottom w:val="0"/>
          <w:divBdr>
            <w:top w:val="none" w:sz="0" w:space="0" w:color="auto"/>
            <w:left w:val="none" w:sz="0" w:space="0" w:color="auto"/>
            <w:bottom w:val="none" w:sz="0" w:space="0" w:color="auto"/>
            <w:right w:val="none" w:sz="0" w:space="0" w:color="auto"/>
          </w:divBdr>
        </w:div>
        <w:div w:id="2110351168">
          <w:marLeft w:val="0"/>
          <w:marRight w:val="0"/>
          <w:marTop w:val="0"/>
          <w:marBottom w:val="150"/>
          <w:divBdr>
            <w:top w:val="none" w:sz="0" w:space="0" w:color="auto"/>
            <w:left w:val="none" w:sz="0" w:space="0" w:color="auto"/>
            <w:bottom w:val="none" w:sz="0" w:space="0" w:color="auto"/>
            <w:right w:val="none" w:sz="0" w:space="0" w:color="auto"/>
          </w:divBdr>
        </w:div>
        <w:div w:id="87211425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iaoduc.net.vn/GDVN/Nhung-dieu-thi-sinh-bat-buoc-phai-biet-khi-dang-ky-xet-tuyen-post174197.g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iaoduc.net.vn/Tu-van-phap-luat/Tiep-tuc-cong-khai-de-dap-an-trong-ky-thi-quoc-gia-2017-post174178.gd" TargetMode="External"/><Relationship Id="rId5" Type="http://schemas.openxmlformats.org/officeDocument/2006/relationships/hyperlink" Target="http://giaoduc.net.vn/Giao-duc-24h/Cong-bo-chinh-thuc-lich-thi-quoc-gia-2017-post174212.gd" TargetMode="External"/><Relationship Id="rId4" Type="http://schemas.openxmlformats.org/officeDocument/2006/relationships/hyperlink" Target="http://giaoduc.net.vn/Giao-duc-24h/Nhung-dieu-thi-sinh-bat-buoc-phai-biet-khi-dang-ky-xet-tuyen-post174197.g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2017-03-30T03:22:00Z</dcterms:created>
  <dcterms:modified xsi:type="dcterms:W3CDTF">2017-03-30T03:23:00Z</dcterms:modified>
</cp:coreProperties>
</file>